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J</w:t>
      </w:r>
      <w:r>
        <w:rPr>
          <w:rFonts w:ascii="仿宋" w:hAnsi="仿宋" w:eastAsia="仿宋"/>
          <w:bCs/>
          <w:sz w:val="28"/>
          <w:szCs w:val="28"/>
          <w:u w:val="single"/>
        </w:rPr>
        <w:t>QTH2020011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太和县中医院床旁快速免疫分析仪采购项目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020</w:t>
      </w:r>
      <w:r>
        <w:rPr>
          <w:rFonts w:hint="eastAsia" w:ascii="仿宋" w:hAnsi="仿宋" w:eastAsia="仿宋"/>
          <w:sz w:val="28"/>
          <w:szCs w:val="28"/>
          <w:u w:val="single"/>
        </w:rPr>
        <w:t>年7月2</w:t>
      </w:r>
      <w:r>
        <w:rPr>
          <w:rFonts w:ascii="仿宋" w:hAnsi="仿宋" w:eastAsia="仿宋"/>
          <w:sz w:val="28"/>
          <w:szCs w:val="28"/>
          <w:u w:val="single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日　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</w:rPr>
        <w:sym w:font="Wingdings 2" w:char="F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一、原文件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第五章技术规范修改为</w:t>
      </w:r>
      <w:r>
        <w:rPr>
          <w:rFonts w:hint="eastAsia" w:ascii="仿宋" w:hAnsi="仿宋" w:eastAsia="仿宋"/>
          <w:sz w:val="28"/>
          <w:szCs w:val="28"/>
          <w:u w:val="single"/>
        </w:rPr>
        <w:t>：床旁POCT在满足医院科室快速检测的同时，需要满足国家心衰中心、国家胸痛中心对于POCT准确性、及时性及数据上报的要求，数据及系统配置须与院内HIS系统对接,且中标公司免费提供备用机。该产品市场占有率列出购买贵公司该产品的主要用户；并请提供上述范围内三所三级医院购买该产品的购货合同(复印件)及设备配置清单(复印件)；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招标耗材包括肌钙蛋白I (Troponin I)、肌钙蛋白T (Troponin T)、肌红蛋白（M</w:t>
      </w:r>
      <w:r>
        <w:rPr>
          <w:rFonts w:ascii="仿宋" w:hAnsi="仿宋" w:eastAsia="仿宋"/>
          <w:sz w:val="28"/>
          <w:szCs w:val="28"/>
          <w:u w:val="single"/>
        </w:rPr>
        <w:t>yoglobin</w:t>
      </w:r>
      <w:r>
        <w:rPr>
          <w:rFonts w:hint="eastAsia" w:ascii="仿宋" w:hAnsi="仿宋" w:eastAsia="仿宋"/>
          <w:sz w:val="28"/>
          <w:szCs w:val="28"/>
          <w:u w:val="single"/>
        </w:rPr>
        <w:t>）、肌酸激酶同工酶(CKMB)、</w:t>
      </w:r>
      <w:r>
        <w:rPr>
          <w:rFonts w:ascii="仿宋" w:hAnsi="仿宋" w:eastAsia="仿宋"/>
          <w:sz w:val="28"/>
          <w:szCs w:val="28"/>
          <w:u w:val="single"/>
        </w:rPr>
        <w:t>D二聚体(D-dimer)、</w:t>
      </w:r>
      <w:r>
        <w:rPr>
          <w:rFonts w:hint="eastAsia" w:ascii="仿宋" w:hAnsi="仿宋" w:eastAsia="仿宋"/>
          <w:sz w:val="28"/>
          <w:szCs w:val="28"/>
          <w:u w:val="single"/>
        </w:rPr>
        <w:t>N端-B型肭尿肽前体(NT-proBNP)、降钙素原（PCT）、B型</w:t>
      </w:r>
      <w:r>
        <w:rPr>
          <w:rFonts w:ascii="仿宋" w:hAnsi="仿宋" w:eastAsia="仿宋"/>
          <w:sz w:val="28"/>
          <w:szCs w:val="28"/>
          <w:u w:val="single"/>
        </w:rPr>
        <w:t>肭</w:t>
      </w:r>
      <w:r>
        <w:rPr>
          <w:rFonts w:hint="eastAsia" w:ascii="仿宋" w:hAnsi="仿宋" w:eastAsia="仿宋"/>
          <w:sz w:val="28"/>
          <w:szCs w:val="28"/>
          <w:u w:val="single"/>
        </w:rPr>
        <w:t>尿</w:t>
      </w:r>
      <w:r>
        <w:rPr>
          <w:rFonts w:ascii="仿宋" w:hAnsi="仿宋" w:eastAsia="仿宋"/>
          <w:sz w:val="28"/>
          <w:szCs w:val="28"/>
          <w:u w:val="single"/>
        </w:rPr>
        <w:t>肽</w:t>
      </w:r>
      <w:r>
        <w:rPr>
          <w:rFonts w:hint="eastAsia" w:ascii="仿宋" w:hAnsi="仿宋" w:eastAsia="仿宋"/>
          <w:sz w:val="28"/>
          <w:szCs w:val="28"/>
          <w:u w:val="single"/>
        </w:rPr>
        <w:t>（BNP）。</w:t>
      </w:r>
    </w:p>
    <w:tbl>
      <w:tblPr>
        <w:tblStyle w:val="7"/>
        <w:tblW w:w="8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2483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1. 测量项目及参数要求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b/>
                <w:color w:val="000000"/>
                <w:kern w:val="0"/>
                <w:sz w:val="28"/>
                <w:szCs w:val="28"/>
                <w:lang w:bidi="ar"/>
              </w:rPr>
            </w:pPr>
            <w:bookmarkStart w:id="9" w:name="_Hlk46779153"/>
            <w:r>
              <w:rPr>
                <w:rFonts w:hint="eastAsia" w:ascii="宋体" w:hAnsi="宋体" w:cs="楷体"/>
                <w:b/>
                <w:color w:val="000000"/>
                <w:kern w:val="0"/>
                <w:sz w:val="28"/>
                <w:szCs w:val="28"/>
                <w:lang w:bidi="ar"/>
              </w:rPr>
              <w:t>测量参数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b/>
                <w:color w:val="000000"/>
                <w:kern w:val="0"/>
                <w:sz w:val="28"/>
                <w:szCs w:val="28"/>
                <w:lang w:bidi="ar"/>
              </w:rPr>
              <w:t>可报告范围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b/>
                <w:color w:val="000000"/>
                <w:kern w:val="0"/>
                <w:sz w:val="28"/>
                <w:szCs w:val="28"/>
                <w:lang w:bidi="ar"/>
              </w:rPr>
              <w:t>年使用人次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肌钙蛋白I (Troponin I)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0.010–25 μg/L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肌钙蛋白T (Troponin T)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pct5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0.01–25 μg/L</w:t>
            </w:r>
          </w:p>
        </w:tc>
        <w:tc>
          <w:tcPr>
            <w:tcW w:w="2484" w:type="dxa"/>
            <w:tcBorders>
              <w:left w:val="single" w:color="auto" w:sz="4" w:space="0"/>
              <w:right w:val="single" w:color="auto" w:sz="4" w:space="0"/>
            </w:tcBorders>
            <w:shd w:val="pct5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肌酸激酶同工酶(CKMB)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2–500 μg/L</w:t>
            </w:r>
          </w:p>
        </w:tc>
        <w:tc>
          <w:tcPr>
            <w:tcW w:w="248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肌红蛋白(Myoglobin)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20–900 μg/L</w:t>
            </w:r>
          </w:p>
        </w:tc>
        <w:tc>
          <w:tcPr>
            <w:tcW w:w="248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D二聚体(D-dimer)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80–100,000 μg/L</w:t>
            </w:r>
          </w:p>
        </w:tc>
        <w:tc>
          <w:tcPr>
            <w:tcW w:w="248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N端-B型肭尿肽前体(NT-proBNP)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70–35,000 ng/L</w:t>
            </w:r>
          </w:p>
        </w:tc>
        <w:tc>
          <w:tcPr>
            <w:tcW w:w="248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降钙素原（PCT）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 xml:space="preserve">0.072-100 ng/mL </w:t>
            </w:r>
          </w:p>
        </w:tc>
        <w:tc>
          <w:tcPr>
            <w:tcW w:w="2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B型</w:t>
            </w: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肭</w:t>
            </w: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尿</w:t>
            </w: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肽</w:t>
            </w: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（BNP）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0-100pg/mL</w:t>
            </w:r>
          </w:p>
        </w:tc>
        <w:tc>
          <w:tcPr>
            <w:tcW w:w="2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bookmarkEnd w:id="9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测量项目要求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一个标本可根据临床需求自定义灵活组合检测参数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．检测时间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单参数从拿到标本到出报告结果不超过15分钟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4.检测原理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时间分辨荧光免疫法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5. 进样方式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7"/>
              <w:tblW w:w="480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0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4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楷体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宋体" w:hAnsi="宋体" w:cs="楷体"/>
                      <w:color w:val="000000"/>
                      <w:kern w:val="0"/>
                      <w:sz w:val="28"/>
                      <w:szCs w:val="28"/>
                      <w:lang w:bidi="ar"/>
                    </w:rPr>
                    <w:t>采血管自动、封闭式进样，自动检测，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4" w:hRule="atLeast"/>
              </w:trPr>
              <w:tc>
                <w:tcPr>
                  <w:tcW w:w="4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楷体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宋体" w:hAnsi="宋体" w:cs="楷体"/>
                      <w:color w:val="000000"/>
                      <w:kern w:val="0"/>
                      <w:sz w:val="28"/>
                      <w:szCs w:val="28"/>
                      <w:lang w:bidi="ar"/>
                    </w:rPr>
                    <w:t>样本进行检测时，能同时接受其它样本的进样,可同时检测大于8或6通道，可打印报告</w:t>
                  </w:r>
                </w:p>
              </w:tc>
            </w:tr>
          </w:tbl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.数据及系统配置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可与院内HIS系统对接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.保证结果的精准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8"/>
                <w:szCs w:val="28"/>
                <w:lang w:bidi="ar"/>
              </w:rPr>
              <w:t>提供肌钙蛋白I的比对数据</w:t>
            </w:r>
          </w:p>
        </w:tc>
      </w:tr>
    </w:tbl>
    <w:p>
      <w:pPr>
        <w:pStyle w:val="15"/>
        <w:jc w:val="both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  <w:u w:val="single"/>
        </w:rPr>
        <w:t>二、</w:t>
      </w:r>
      <w:r>
        <w:rPr>
          <w:rFonts w:hint="eastAsia" w:ascii="仿宋" w:hAnsi="仿宋" w:eastAsia="仿宋"/>
          <w:sz w:val="28"/>
          <w:szCs w:val="28"/>
          <w:u w:val="single"/>
        </w:rPr>
        <w:t>原文件第六章响应文件格式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4</w:t>
      </w:r>
      <w:r>
        <w:rPr>
          <w:rFonts w:ascii="仿宋" w:hAnsi="仿宋" w:eastAsia="仿宋"/>
          <w:bCs/>
          <w:sz w:val="28"/>
          <w:szCs w:val="28"/>
          <w:u w:val="single"/>
        </w:rPr>
        <w:t>.1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分项报价表</w:t>
      </w:r>
      <w:r>
        <w:rPr>
          <w:rFonts w:hint="eastAsia" w:ascii="仿宋" w:hAnsi="仿宋" w:eastAsia="仿宋"/>
          <w:b/>
          <w:bCs w:val="0"/>
          <w:sz w:val="28"/>
          <w:szCs w:val="28"/>
          <w:u w:val="single"/>
        </w:rPr>
        <w:t>修改为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2066"/>
        <w:gridCol w:w="1136"/>
        <w:gridCol w:w="1552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color w:val="000000"/>
                <w:sz w:val="24"/>
                <w:szCs w:val="24"/>
                <w:lang w:bidi="ar"/>
              </w:rPr>
              <w:t>测量参数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color w:val="000000"/>
                <w:sz w:val="24"/>
                <w:szCs w:val="24"/>
                <w:lang w:bidi="ar"/>
              </w:rPr>
              <w:t>可报告范围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color w:val="000000"/>
                <w:sz w:val="24"/>
                <w:szCs w:val="24"/>
                <w:lang w:bidi="ar"/>
              </w:rPr>
              <w:t>年使用人次</w:t>
            </w:r>
          </w:p>
        </w:tc>
        <w:tc>
          <w:tcPr>
            <w:tcW w:w="1552" w:type="dxa"/>
            <w:vAlign w:val="center"/>
          </w:tcPr>
          <w:p>
            <w:pPr>
              <w:pStyle w:val="15"/>
              <w:widowControl w:val="0"/>
              <w:spacing w:line="420" w:lineRule="exact"/>
              <w:jc w:val="center"/>
              <w:rPr>
                <w:rFonts w:ascii="宋体" w:hAnsi="宋体" w:eastAsia="宋体" w:cs="楷体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楷体"/>
                <w:b/>
                <w:color w:val="000000"/>
                <w:sz w:val="24"/>
                <w:szCs w:val="24"/>
                <w:lang w:bidi="ar"/>
              </w:rPr>
              <w:t>单价</w:t>
            </w:r>
          </w:p>
          <w:p>
            <w:pPr>
              <w:pStyle w:val="15"/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color w:val="000000"/>
                <w:sz w:val="24"/>
                <w:szCs w:val="24"/>
                <w:lang w:bidi="ar"/>
              </w:rPr>
              <w:t>（元/人次）</w:t>
            </w: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肌钙蛋白I (Troponin I)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0.010–25 μg/L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eastAsia="宋体" w:cs="楷体"/>
                <w:color w:val="000000"/>
                <w:sz w:val="21"/>
                <w:szCs w:val="21"/>
                <w:lang w:bidi="ar"/>
              </w:rPr>
              <w:t>200</w:t>
            </w:r>
          </w:p>
        </w:tc>
        <w:tc>
          <w:tcPr>
            <w:tcW w:w="155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楷体"/>
                <w:color w:val="000000"/>
                <w:sz w:val="21"/>
                <w:szCs w:val="21"/>
                <w:lang w:bidi="ar"/>
              </w:rPr>
              <w:t>肌钙蛋白T (Troponin T)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0.01–25 μg/L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pct5" w:color="auto" w:fill="FFFFFF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2200</w:t>
            </w:r>
          </w:p>
        </w:tc>
        <w:tc>
          <w:tcPr>
            <w:tcW w:w="155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肌酸激酶同工酶(CKMB)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楷体"/>
                <w:color w:val="000000"/>
                <w:sz w:val="21"/>
                <w:szCs w:val="21"/>
                <w:lang w:bidi="ar"/>
              </w:rPr>
              <w:t>2–500 μg/L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2200</w:t>
            </w:r>
          </w:p>
        </w:tc>
        <w:tc>
          <w:tcPr>
            <w:tcW w:w="155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楷体"/>
                <w:color w:val="000000"/>
                <w:sz w:val="21"/>
                <w:szCs w:val="21"/>
                <w:lang w:bidi="ar"/>
              </w:rPr>
              <w:t>肌红蛋白(Myoglobin)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楷体"/>
                <w:color w:val="000000"/>
                <w:sz w:val="21"/>
                <w:szCs w:val="21"/>
                <w:lang w:bidi="ar"/>
              </w:rPr>
              <w:t>20–900 μg/L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2200</w:t>
            </w:r>
          </w:p>
        </w:tc>
        <w:tc>
          <w:tcPr>
            <w:tcW w:w="155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楷体"/>
                <w:color w:val="000000"/>
                <w:sz w:val="21"/>
                <w:szCs w:val="21"/>
                <w:lang w:bidi="ar"/>
              </w:rPr>
              <w:t>D二聚体(D-dimer)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楷体"/>
                <w:color w:val="000000"/>
                <w:sz w:val="21"/>
                <w:szCs w:val="21"/>
                <w:lang w:bidi="ar"/>
              </w:rPr>
              <w:t>80–100,000 μg/L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2200</w:t>
            </w:r>
          </w:p>
        </w:tc>
        <w:tc>
          <w:tcPr>
            <w:tcW w:w="155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sz w:val="21"/>
                <w:szCs w:val="21"/>
                <w:lang w:bidi="ar"/>
              </w:rPr>
              <w:t>N端-B型肭尿肽前体(NT-proBNP)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70–35,000 ng/L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2200</w:t>
            </w:r>
          </w:p>
        </w:tc>
        <w:tc>
          <w:tcPr>
            <w:tcW w:w="155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降钙素原（PCT）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 xml:space="preserve">0.072-100 ng/mL 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2200</w:t>
            </w: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sz w:val="21"/>
                <w:szCs w:val="21"/>
                <w:lang w:bidi="ar"/>
              </w:rPr>
              <w:t>B型</w:t>
            </w:r>
            <w:r>
              <w:rPr>
                <w:rFonts w:ascii="宋体" w:hAnsi="宋体" w:cs="楷体"/>
                <w:color w:val="000000"/>
                <w:sz w:val="21"/>
                <w:szCs w:val="21"/>
                <w:lang w:bidi="ar"/>
              </w:rPr>
              <w:t>肭</w:t>
            </w:r>
            <w:r>
              <w:rPr>
                <w:rFonts w:hint="eastAsia" w:ascii="宋体" w:hAnsi="宋体" w:cs="楷体"/>
                <w:color w:val="000000"/>
                <w:sz w:val="21"/>
                <w:szCs w:val="21"/>
                <w:lang w:bidi="ar"/>
              </w:rPr>
              <w:t>尿</w:t>
            </w:r>
            <w:r>
              <w:rPr>
                <w:rFonts w:ascii="宋体" w:hAnsi="宋体" w:cs="楷体"/>
                <w:color w:val="000000"/>
                <w:sz w:val="21"/>
                <w:szCs w:val="21"/>
                <w:lang w:bidi="ar"/>
              </w:rPr>
              <w:t>肽</w:t>
            </w:r>
            <w:r>
              <w:rPr>
                <w:rFonts w:hint="eastAsia" w:ascii="宋体" w:hAnsi="宋体" w:cs="楷体"/>
                <w:color w:val="000000"/>
                <w:sz w:val="21"/>
                <w:szCs w:val="21"/>
                <w:lang w:bidi="ar"/>
              </w:rPr>
              <w:t>（BNP）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楷体"/>
                <w:color w:val="000000"/>
                <w:sz w:val="21"/>
                <w:szCs w:val="21"/>
                <w:lang w:bidi="ar"/>
              </w:rPr>
              <w:t>0-100pg/</w:t>
            </w: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 xml:space="preserve">mL 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 w:val="21"/>
                <w:szCs w:val="21"/>
                <w:lang w:bidi="ar"/>
              </w:rPr>
              <w:t>2200</w:t>
            </w: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合计（元）</w:t>
            </w:r>
            <w:bookmarkStart w:id="28" w:name="_GoBack"/>
            <w:bookmarkEnd w:id="28"/>
          </w:p>
        </w:tc>
        <w:tc>
          <w:tcPr>
            <w:tcW w:w="1192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widowControl w:val="0"/>
              <w:spacing w:line="4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pStyle w:val="15"/>
        <w:jc w:val="both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注：</w:t>
      </w:r>
      <w:r>
        <w:rPr>
          <w:rFonts w:ascii="宋体" w:hAnsi="宋体" w:eastAsia="宋体" w:cs="宋体"/>
          <w:b/>
          <w:color w:val="000000"/>
          <w:sz w:val="28"/>
          <w:szCs w:val="28"/>
        </w:rPr>
        <w:t>文件提供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年使用人次为参考，结算时以实际发生的使用人次为准。</w:t>
      </w:r>
    </w:p>
    <w:p>
      <w:pPr>
        <w:spacing w:line="480" w:lineRule="auto"/>
        <w:jc w:val="center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供应商（公章）：</w:t>
      </w:r>
    </w:p>
    <w:p>
      <w:pPr>
        <w:spacing w:line="480" w:lineRule="auto"/>
        <w:ind w:firstLine="3600" w:firstLineChars="15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法定代表人或授权代表（签字或盖章）：                    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 xml:space="preserve">  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日期：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020</w:t>
      </w:r>
      <w:r>
        <w:rPr>
          <w:rFonts w:hint="eastAsia" w:ascii="仿宋" w:hAnsi="仿宋" w:eastAsia="仿宋"/>
          <w:sz w:val="28"/>
          <w:szCs w:val="28"/>
          <w:u w:val="single"/>
        </w:rPr>
        <w:t>年8月6日　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太和县中医院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太和县团结西路59号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15305580635　　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安徽金泉工程管理咨询有限公司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安徽省合肥市蜀山区怀宁路288号置地广场E座办2601室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4" w:name="_Toc28359109"/>
      <w:bookmarkStart w:id="25" w:name="_Toc28359032"/>
      <w:r>
        <w:rPr>
          <w:rFonts w:hint="eastAsia" w:ascii="仿宋" w:hAnsi="仿宋" w:eastAsia="仿宋"/>
          <w:sz w:val="28"/>
          <w:szCs w:val="28"/>
          <w:u w:val="single"/>
        </w:rPr>
        <w:t xml:space="preserve">18955835533　 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陈主任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15305580635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C0"/>
    <w:rsid w:val="0016206B"/>
    <w:rsid w:val="00172988"/>
    <w:rsid w:val="0021013E"/>
    <w:rsid w:val="003A6C22"/>
    <w:rsid w:val="003B6335"/>
    <w:rsid w:val="00415788"/>
    <w:rsid w:val="004C16C0"/>
    <w:rsid w:val="005F7433"/>
    <w:rsid w:val="009B5CC1"/>
    <w:rsid w:val="00BE307F"/>
    <w:rsid w:val="3F1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字符"/>
    <w:basedOn w:val="8"/>
    <w:semiHidden/>
    <w:uiPriority w:val="99"/>
    <w:rPr>
      <w:rFonts w:hAnsi="Courier New" w:cs="Courier New" w:asciiTheme="minorEastAsia"/>
      <w:szCs w:val="21"/>
    </w:rPr>
  </w:style>
  <w:style w:type="character" w:customStyle="1" w:styleId="14">
    <w:name w:val="纯文本 字符1"/>
    <w:basedOn w:val="8"/>
    <w:link w:val="4"/>
    <w:qFormat/>
    <w:uiPriority w:val="0"/>
    <w:rPr>
      <w:rFonts w:ascii="宋体" w:hAnsi="Courier New"/>
    </w:rPr>
  </w:style>
  <w:style w:type="paragraph" w:customStyle="1" w:styleId="15">
    <w:name w:val="Normal_5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1441</Characters>
  <Lines>12</Lines>
  <Paragraphs>3</Paragraphs>
  <TotalTime>2</TotalTime>
  <ScaleCrop>false</ScaleCrop>
  <LinksUpToDate>false</LinksUpToDate>
  <CharactersWithSpaces>1690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2020-08-05T07:59:00Z</dcterms:created>
  <dc:creator> </dc:creator>
  <cp:lastModifiedBy>y1辈子爱你</cp:lastModifiedBy>
  <dcterms:modified xsi:type="dcterms:W3CDTF">2020-08-05T08:27:40Z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